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Налоги и налогообложение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«Налоги и налогообложение».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618.4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pPr>
              <w:jc w:val="both"/>
              <w:spacing w:after="0" w:line="240" w:lineRule="auto"/>
              <w:rPr>
                <w:sz w:val="24"/>
                <w:szCs w:val="24"/>
              </w:rPr>
            </w:pPr>
            <w:r>
              <w:rPr>
                <w:rFonts w:ascii="Times New Roman" w:hAnsi="Times New Roman" w:cs="Times New Roman"/>
                <w:color w:val="#000000"/>
                <w:sz w:val="24"/>
                <w:szCs w:val="24"/>
              </w:rPr>
              <w:t> 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pPr>
              <w:jc w:val="both"/>
              <w:spacing w:after="0" w:line="240" w:lineRule="auto"/>
              <w:rPr>
                <w:sz w:val="24"/>
                <w:szCs w:val="24"/>
              </w:rPr>
            </w:pPr>
            <w:r>
              <w:rPr>
                <w:rFonts w:ascii="Times New Roman" w:hAnsi="Times New Roman" w:cs="Times New Roman"/>
                <w:color w:val="#000000"/>
                <w:sz w:val="24"/>
                <w:szCs w:val="24"/>
              </w:rPr>
              <w:t> 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pPr>
              <w:jc w:val="both"/>
              <w:spacing w:after="0" w:line="240" w:lineRule="auto"/>
              <w:rPr>
                <w:sz w:val="24"/>
                <w:szCs w:val="24"/>
              </w:rPr>
            </w:pPr>
            <w:r>
              <w:rPr>
                <w:rFonts w:ascii="Times New Roman" w:hAnsi="Times New Roman" w:cs="Times New Roman"/>
                <w:color w:val="#000000"/>
                <w:sz w:val="24"/>
                <w:szCs w:val="24"/>
              </w:rPr>
              <w:t> 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pPr>
              <w:jc w:val="both"/>
              <w:spacing w:after="0" w:line="240" w:lineRule="auto"/>
              <w:rPr>
                <w:sz w:val="24"/>
                <w:szCs w:val="24"/>
              </w:rPr>
            </w:pPr>
            <w:r>
              <w:rPr>
                <w:rFonts w:ascii="Times New Roman" w:hAnsi="Times New Roman" w:cs="Times New Roman"/>
                <w:color w:val="#000000"/>
                <w:sz w:val="24"/>
                <w:szCs w:val="24"/>
              </w:rPr>
              <w:t> 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p>
            <w:pPr>
              <w:jc w:val="both"/>
              <w:spacing w:after="0" w:line="240" w:lineRule="auto"/>
              <w:rPr>
                <w:sz w:val="24"/>
                <w:szCs w:val="24"/>
              </w:rPr>
            </w:pPr>
            <w:r>
              <w:rPr>
                <w:rFonts w:ascii="Times New Roman" w:hAnsi="Times New Roman" w:cs="Times New Roman"/>
                <w:color w:val="#000000"/>
                <w:sz w:val="24"/>
                <w:szCs w:val="24"/>
              </w:rPr>
              <w:t> 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pPr>
              <w:jc w:val="both"/>
              <w:spacing w:after="0" w:line="240" w:lineRule="auto"/>
              <w:rPr>
                <w:sz w:val="24"/>
                <w:szCs w:val="24"/>
              </w:rPr>
            </w:pPr>
            <w:r>
              <w:rPr>
                <w:rFonts w:ascii="Times New Roman" w:hAnsi="Times New Roman" w:cs="Times New Roman"/>
                <w:color w:val="#000000"/>
                <w:sz w:val="24"/>
                <w:szCs w:val="24"/>
              </w:rPr>
              <w:t> 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pPr>
              <w:jc w:val="both"/>
              <w:spacing w:after="0" w:line="240" w:lineRule="auto"/>
              <w:rPr>
                <w:sz w:val="24"/>
                <w:szCs w:val="24"/>
              </w:rPr>
            </w:pPr>
            <w:r>
              <w:rPr>
                <w:rFonts w:ascii="Times New Roman" w:hAnsi="Times New Roman" w:cs="Times New Roman"/>
                <w:color w:val="#000000"/>
                <w:sz w:val="24"/>
                <w:szCs w:val="24"/>
              </w:rPr>
              <w:t> пользование объектами водных биоресурсов.Водный налог. Налог на добычу полезных ископаемых. Государственная пошлина.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организации. Транспортный налог. Налог на игорный бизнес.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налог. Налог на имущество физических лиц. Торговый сбор (Москва, Санкт- Петербург, Севастополь).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Упрощенная система налогообложения. Система налогообложения в виде единого налога на</w:t>
            </w:r>
          </w:p>
          <w:p>
            <w:pPr>
              <w:jc w:val="both"/>
              <w:spacing w:after="0" w:line="240" w:lineRule="auto"/>
              <w:rPr>
                <w:sz w:val="24"/>
                <w:szCs w:val="24"/>
              </w:rPr>
            </w:pPr>
            <w:r>
              <w:rPr>
                <w:rFonts w:ascii="Times New Roman" w:hAnsi="Times New Roman" w:cs="Times New Roman"/>
                <w:color w:val="#000000"/>
                <w:sz w:val="24"/>
                <w:szCs w:val="24"/>
              </w:rPr>
              <w:t> вмененный доход для отдельных видов деятельности. Патентная система налогообложения.  Система налогообложения для сельскохозяйственных</w:t>
            </w:r>
          </w:p>
          <w:p>
            <w:pPr>
              <w:jc w:val="both"/>
              <w:spacing w:after="0" w:line="240" w:lineRule="auto"/>
              <w:rPr>
                <w:sz w:val="24"/>
                <w:szCs w:val="24"/>
              </w:rPr>
            </w:pPr>
            <w:r>
              <w:rPr>
                <w:rFonts w:ascii="Times New Roman" w:hAnsi="Times New Roman" w:cs="Times New Roman"/>
                <w:color w:val="#000000"/>
                <w:sz w:val="24"/>
                <w:szCs w:val="24"/>
              </w:rPr>
              <w:t> товаропроизводителей (единый с/х налог). Система налогообложения при выполнении соглашения</w:t>
            </w:r>
          </w:p>
          <w:p>
            <w:pPr>
              <w:jc w:val="both"/>
              <w:spacing w:after="0" w:line="240" w:lineRule="auto"/>
              <w:rPr>
                <w:sz w:val="24"/>
                <w:szCs w:val="24"/>
              </w:rPr>
            </w:pPr>
            <w:r>
              <w:rPr>
                <w:rFonts w:ascii="Times New Roman" w:hAnsi="Times New Roman" w:cs="Times New Roman"/>
                <w:color w:val="#000000"/>
                <w:sz w:val="24"/>
                <w:szCs w:val="24"/>
              </w:rPr>
              <w:t> о разделе продукции.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21.31518"/>
        </w:trPr>
        <w:tc>
          <w:tcPr>
            <w:tcW w:w="9640" w:type="dxa"/>
          </w:tcPr>
          <w:p/>
        </w:tc>
      </w:tr>
      <w:tr>
        <w:trPr>
          <w:trHeight w:hRule="exact" w:val="3260.16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налогов и сборов. Налоговая система. Структурные элементы налоговой системы. Факторы развития налоговой системы.</w:t>
            </w:r>
          </w:p>
          <w:p>
            <w:pPr>
              <w:jc w:val="left"/>
              <w:spacing w:after="0" w:line="240" w:lineRule="auto"/>
              <w:rPr>
                <w:sz w:val="24"/>
                <w:szCs w:val="24"/>
              </w:rPr>
            </w:pPr>
            <w:r>
              <w:rPr>
                <w:rFonts w:ascii="Times New Roman" w:hAnsi="Times New Roman" w:cs="Times New Roman"/>
                <w:color w:val="#000000"/>
                <w:sz w:val="24"/>
                <w:szCs w:val="24"/>
              </w:rPr>
              <w:t> 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pPr>
              <w:jc w:val="left"/>
              <w:spacing w:after="0" w:line="240" w:lineRule="auto"/>
              <w:rPr>
                <w:sz w:val="24"/>
                <w:szCs w:val="24"/>
              </w:rPr>
            </w:pPr>
            <w:r>
              <w:rPr>
                <w:rFonts w:ascii="Times New Roman" w:hAnsi="Times New Roman" w:cs="Times New Roman"/>
                <w:color w:val="#000000"/>
                <w:sz w:val="24"/>
                <w:szCs w:val="24"/>
              </w:rPr>
              <w:t> 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pPr>
              <w:jc w:val="left"/>
              <w:spacing w:after="0" w:line="240" w:lineRule="auto"/>
              <w:rPr>
                <w:sz w:val="24"/>
                <w:szCs w:val="24"/>
              </w:rPr>
            </w:pPr>
            <w:r>
              <w:rPr>
                <w:rFonts w:ascii="Times New Roman" w:hAnsi="Times New Roman" w:cs="Times New Roman"/>
                <w:color w:val="#000000"/>
                <w:sz w:val="24"/>
                <w:szCs w:val="24"/>
              </w:rPr>
              <w:t> 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pPr>
              <w:jc w:val="left"/>
              <w:spacing w:after="0" w:line="240" w:lineRule="auto"/>
              <w:rPr>
                <w:sz w:val="24"/>
                <w:szCs w:val="24"/>
              </w:rPr>
            </w:pPr>
            <w:r>
              <w:rPr>
                <w:rFonts w:ascii="Times New Roman" w:hAnsi="Times New Roman" w:cs="Times New Roman"/>
                <w:color w:val="#000000"/>
                <w:sz w:val="24"/>
                <w:szCs w:val="24"/>
              </w:rPr>
              <w:t> Понятия недоимки и налоговой задолженности. Порядок и сроки взыскания недоимок налоговыми органами.</w:t>
            </w:r>
          </w:p>
          <w:p>
            <w:pPr>
              <w:jc w:val="left"/>
              <w:spacing w:after="0" w:line="240" w:lineRule="auto"/>
              <w:rPr>
                <w:sz w:val="24"/>
                <w:szCs w:val="24"/>
              </w:rPr>
            </w:pPr>
            <w:r>
              <w:rPr>
                <w:rFonts w:ascii="Times New Roman" w:hAnsi="Times New Roman" w:cs="Times New Roman"/>
                <w:color w:val="#000000"/>
                <w:sz w:val="24"/>
                <w:szCs w:val="24"/>
              </w:rPr>
              <w:t> Налоговые правонарушения. Виды налоговых правонарушений. Ответственность за нарушение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Развитие в Российской Федерации риск-ориентированного подхода к организации и проведению налогового контроля.</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«Налоги и налогообложение»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p>
        </w:tc>
      </w:tr>
      <w:tr>
        <w:trPr>
          <w:trHeight w:hRule="exact" w:val="246.37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2023-2024_ФГОС3++2023_Бак-ОЗФО-Э(УАиА)(23)_plx_Налоги и налогообложение</dc:title>
  <dc:creator>FastReport.NET</dc:creator>
</cp:coreProperties>
</file>